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auto"/>
          <w:sz w:val="32"/>
          <w:szCs w:val="32"/>
          <w:highlight w:val="none"/>
        </w:rPr>
      </w:pPr>
      <w:bookmarkStart w:id="6" w:name="_GoBack"/>
      <w:r>
        <w:rPr>
          <w:rFonts w:hint="eastAsia" w:ascii="宋体" w:hAnsi="宋体" w:cs="宋体"/>
          <w:b/>
          <w:bCs/>
          <w:color w:val="auto"/>
          <w:sz w:val="32"/>
          <w:szCs w:val="32"/>
          <w:highlight w:val="none"/>
        </w:rPr>
        <w:t xml:space="preserve">第四章  政府采购合同 </w:t>
      </w:r>
    </w:p>
    <w:p>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bl>
      <w:tblPr>
        <w:tblStyle w:val="9"/>
        <w:tblW w:w="87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757"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注释： </w:t>
            </w:r>
          </w:p>
          <w:p>
            <w:pPr>
              <w:spacing w:line="360" w:lineRule="auto"/>
              <w:ind w:firstLine="720" w:firstLineChars="300"/>
              <w:rPr>
                <w:rFonts w:ascii="宋体" w:hAnsi="宋体" w:cs="宋体"/>
                <w:b/>
                <w:color w:val="auto"/>
                <w:sz w:val="24"/>
                <w:szCs w:val="24"/>
                <w:highlight w:val="none"/>
              </w:rPr>
            </w:pPr>
            <w:r>
              <w:rPr>
                <w:rFonts w:hint="eastAsia" w:ascii="宋体" w:hAnsi="宋体" w:cs="宋体"/>
                <w:color w:val="auto"/>
                <w:sz w:val="24"/>
                <w:szCs w:val="24"/>
                <w:highlight w:val="none"/>
              </w:rPr>
              <w:t>本合同为本项目招标（谈判）文件的重要组成部分。投标（报价）人对合同条款的任何负偏离将导致投标（报价）无效。</w:t>
            </w:r>
          </w:p>
          <w:p>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若中标（成交）供应商的投标（报价）文件对合同条款的响应优于本合同条款的，以投标（报价）文件内容为准。</w:t>
            </w:r>
          </w:p>
        </w:tc>
      </w:tr>
    </w:tbl>
    <w:p>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XM2024-DZ0003</w:t>
      </w:r>
      <w:r>
        <w:rPr>
          <w:rFonts w:hint="eastAsia" w:ascii="宋体" w:hAnsi="宋体" w:cs="宋体"/>
          <w:b/>
          <w:bCs/>
          <w:color w:val="auto"/>
          <w:sz w:val="24"/>
          <w:szCs w:val="24"/>
          <w:highlight w:val="none"/>
        </w:rPr>
        <w:t>采购合同</w:t>
      </w:r>
    </w:p>
    <w:p>
      <w:pPr>
        <w:spacing w:line="360" w:lineRule="auto"/>
        <w:ind w:right="480"/>
        <w:jc w:val="center"/>
        <w:rPr>
          <w:rFonts w:ascii="宋体" w:hAnsi="宋体" w:cs="宋体"/>
          <w:color w:val="auto"/>
          <w:sz w:val="24"/>
          <w:szCs w:val="24"/>
          <w:highlight w:val="none"/>
        </w:rPr>
      </w:pPr>
    </w:p>
    <w:p>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）的采购结果，现依照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9"/>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pPr>
              <w:widowControl/>
              <w:spacing w:line="360" w:lineRule="auto"/>
              <w:ind w:firstLine="480" w:firstLineChars="200"/>
              <w:jc w:val="left"/>
              <w:rPr>
                <w:rFonts w:ascii="宋体" w:hAnsi="宋体" w:cs="宋体"/>
                <w:color w:val="auto"/>
                <w:kern w:val="0"/>
                <w:sz w:val="24"/>
                <w:szCs w:val="24"/>
                <w:highlight w:val="none"/>
              </w:rPr>
            </w:pPr>
          </w:p>
        </w:tc>
        <w:tc>
          <w:tcPr>
            <w:tcW w:w="2205" w:type="dxa"/>
            <w:tcBorders>
              <w:top w:val="nil"/>
              <w:left w:val="nil"/>
              <w:bottom w:val="single" w:color="auto" w:sz="4" w:space="0"/>
              <w:right w:val="single" w:color="auto" w:sz="4" w:space="0"/>
            </w:tcBorders>
            <w:vAlign w:val="center"/>
          </w:tcPr>
          <w:p>
            <w:pPr>
              <w:spacing w:line="360" w:lineRule="auto"/>
              <w:jc w:val="center"/>
              <w:rPr>
                <w:rFonts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w:t>
            </w:r>
          </w:p>
        </w:tc>
      </w:tr>
      <w:tr>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pPr>
              <w:widowControl/>
              <w:spacing w:line="360" w:lineRule="auto"/>
              <w:rPr>
                <w:rFonts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货物验收完成后的保修等售后服务由</w:t>
            </w:r>
            <w:r>
              <w:rPr>
                <w:rFonts w:hint="eastAsia" w:ascii="宋体" w:hAnsi="宋体" w:cs="宋体"/>
                <w:bCs/>
                <w:color w:val="auto"/>
                <w:sz w:val="24"/>
                <w:szCs w:val="24"/>
                <w:highlight w:val="none"/>
              </w:rPr>
              <w:t>卖方</w:t>
            </w:r>
            <w:r>
              <w:rPr>
                <w:rFonts w:hint="eastAsia" w:ascii="宋体" w:hAnsi="宋体" w:cs="宋体"/>
                <w:bCs/>
                <w:color w:val="auto"/>
                <w:sz w:val="24"/>
                <w:szCs w:val="24"/>
                <w:highlight w:val="none"/>
              </w:rPr>
              <w:t>与</w:t>
            </w:r>
            <w:r>
              <w:rPr>
                <w:rFonts w:hint="eastAsia" w:ascii="宋体" w:hAnsi="宋体" w:cs="宋体"/>
                <w:bCs/>
                <w:color w:val="auto"/>
                <w:sz w:val="24"/>
                <w:szCs w:val="24"/>
                <w:highlight w:val="none"/>
              </w:rPr>
              <w:t>使用单位</w:t>
            </w:r>
            <w:r>
              <w:rPr>
                <w:rFonts w:hint="eastAsia" w:ascii="宋体" w:hAnsi="宋体" w:cs="宋体"/>
                <w:bCs/>
                <w:color w:val="auto"/>
                <w:sz w:val="24"/>
                <w:szCs w:val="24"/>
                <w:highlight w:val="none"/>
              </w:rPr>
              <w:t>另行签订服务合同单独约定，与本合同各自独立履行、互不影响。</w:t>
            </w:r>
          </w:p>
        </w:tc>
      </w:tr>
      <w:tr>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b/>
                <w:color w:val="auto"/>
                <w:kern w:val="0"/>
                <w:sz w:val="24"/>
                <w:szCs w:val="24"/>
                <w:highlight w:val="none"/>
              </w:rPr>
            </w:pPr>
            <w:r>
              <w:rPr>
                <w:rFonts w:hint="eastAsia" w:ascii="宋体" w:hAnsi="宋体" w:cs="宋体"/>
                <w:b/>
                <w:color w:val="auto"/>
                <w:kern w:val="0"/>
                <w:sz w:val="24"/>
                <w:szCs w:val="24"/>
                <w:highlight w:val="none"/>
              </w:rPr>
              <w:t>备注说明： 本项目使用单位（最终用户）</w:t>
            </w:r>
            <w:r>
              <w:rPr>
                <w:rFonts w:hint="eastAsia" w:ascii="宋体" w:hAnsi="宋体" w:cs="宋体"/>
                <w:b/>
                <w:color w:val="auto"/>
                <w:kern w:val="0"/>
                <w:sz w:val="24"/>
                <w:szCs w:val="24"/>
                <w:highlight w:val="none"/>
              </w:rPr>
              <w:t xml:space="preserve">：                  </w:t>
            </w:r>
            <w:r>
              <w:rPr>
                <w:rFonts w:hint="eastAsia" w:ascii="宋体" w:hAnsi="宋体" w:cs="宋体"/>
                <w:b/>
                <w:color w:val="auto"/>
                <w:sz w:val="24"/>
                <w:szCs w:val="24"/>
                <w:highlight w:val="none"/>
                <w:u w:val="single"/>
              </w:rPr>
              <w:t>。</w:t>
            </w:r>
          </w:p>
        </w:tc>
      </w:tr>
    </w:tbl>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w:t>
      </w:r>
      <w:r>
        <w:rPr>
          <w:rFonts w:hint="eastAsia" w:ascii="宋体" w:hAnsi="宋体" w:cs="宋体"/>
          <w:color w:val="auto"/>
          <w:sz w:val="24"/>
          <w:szCs w:val="24"/>
          <w:highlight w:val="none"/>
        </w:rPr>
        <w:t>起  个</w:t>
      </w:r>
      <w:r>
        <w:rPr>
          <w:rFonts w:hint="eastAsia" w:ascii="宋体" w:hAnsi="宋体" w:cs="宋体"/>
          <w:color w:val="auto"/>
          <w:sz w:val="24"/>
          <w:szCs w:val="24"/>
          <w:highlight w:val="none"/>
        </w:rPr>
        <w:t>日历日内（含交货、安装）。</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2.4到货签收：卖方每批次供货到指定地点后，卖方应当组织最终用户对到货数量、型号等进行清点签收，并向买方提交最终用户签署的到货签收单原件。</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3、采购清单： </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pPr>
        <w:pStyle w:val="4"/>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pPr>
        <w:pStyle w:val="4"/>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eastAsia="zh-CN"/>
        </w:rPr>
        <w:t>15个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的3%</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pPr>
        <w:tabs>
          <w:tab w:val="left" w:pos="5130"/>
        </w:tabs>
        <w:spacing w:line="360" w:lineRule="auto"/>
        <w:ind w:left="479" w:leftChars="228" w:firstLine="0" w:firstLineChars="0"/>
        <w:rPr>
          <w:rFonts w:ascii="宋体" w:hAnsi="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15个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pPr>
        <w:tabs>
          <w:tab w:val="left" w:pos="5130"/>
        </w:tabs>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kern w:val="0"/>
          <w:sz w:val="24"/>
          <w:szCs w:val="24"/>
          <w:highlight w:val="none"/>
        </w:rPr>
        <w:t>合同签订后</w:t>
      </w:r>
      <w:r>
        <w:rPr>
          <w:rFonts w:hint="eastAsia" w:ascii="宋体" w:hAnsi="宋体" w:cs="宋体"/>
          <w:color w:val="auto"/>
          <w:kern w:val="0"/>
          <w:sz w:val="24"/>
          <w:szCs w:val="24"/>
          <w:highlight w:val="none"/>
          <w:lang w:eastAsia="zh-CN"/>
        </w:rPr>
        <w:t>15个</w:t>
      </w:r>
      <w:r>
        <w:rPr>
          <w:rFonts w:hint="eastAsia" w:ascii="宋体" w:hAnsi="宋体" w:eastAsia="宋体" w:cs="宋体"/>
          <w:color w:val="auto"/>
          <w:kern w:val="0"/>
          <w:sz w:val="24"/>
          <w:szCs w:val="24"/>
          <w:highlight w:val="none"/>
        </w:rPr>
        <w:t>工作日内，</w:t>
      </w:r>
      <w:r>
        <w:rPr>
          <w:rFonts w:hint="eastAsia" w:ascii="宋体" w:hAnsi="宋体" w:eastAsia="宋体" w:cs="宋体"/>
          <w:color w:val="auto"/>
          <w:sz w:val="24"/>
          <w:szCs w:val="24"/>
          <w:highlight w:val="none"/>
        </w:rPr>
        <w:t>卖方向买方</w:t>
      </w:r>
      <w:r>
        <w:rPr>
          <w:rFonts w:hint="eastAsia" w:ascii="宋体" w:hAnsi="宋体" w:eastAsia="宋体" w:cs="宋体"/>
          <w:color w:val="auto"/>
          <w:kern w:val="0"/>
          <w:sz w:val="24"/>
          <w:szCs w:val="24"/>
          <w:highlight w:val="none"/>
        </w:rPr>
        <w:t>支付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%作为</w:t>
      </w:r>
      <w:r>
        <w:rPr>
          <w:rFonts w:hint="eastAsia" w:ascii="宋体" w:hAnsi="宋体" w:eastAsia="宋体" w:cs="宋体"/>
          <w:color w:val="auto"/>
          <w:kern w:val="0"/>
          <w:sz w:val="24"/>
          <w:szCs w:val="24"/>
          <w:highlight w:val="none"/>
        </w:rPr>
        <w:t>项目</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可以转账、支票、汇票、本票或金融机构、担保机构出具的保函等形式交纳，且在合同签订时一并提交，质量保证期届满且无合同纠纷后</w:t>
      </w:r>
      <w:r>
        <w:rPr>
          <w:rFonts w:hint="eastAsia" w:ascii="宋体" w:hAnsi="宋体" w:cs="宋体"/>
          <w:color w:val="auto"/>
          <w:kern w:val="0"/>
          <w:sz w:val="24"/>
          <w:szCs w:val="24"/>
          <w:highlight w:val="none"/>
          <w:lang w:val="en-US" w:eastAsia="zh-CN"/>
        </w:rPr>
        <w:t>7个</w:t>
      </w:r>
      <w:r>
        <w:rPr>
          <w:rFonts w:hint="eastAsia" w:ascii="宋体" w:hAnsi="宋体" w:eastAsia="宋体" w:cs="宋体"/>
          <w:color w:val="auto"/>
          <w:kern w:val="0"/>
          <w:sz w:val="24"/>
          <w:szCs w:val="24"/>
          <w:highlight w:val="none"/>
        </w:rPr>
        <w:t>工作日内，向</w:t>
      </w:r>
      <w:r>
        <w:rPr>
          <w:rFonts w:hint="eastAsia" w:ascii="宋体" w:hAnsi="宋体" w:eastAsia="宋体" w:cs="宋体"/>
          <w:color w:val="auto"/>
          <w:sz w:val="24"/>
          <w:szCs w:val="24"/>
          <w:highlight w:val="none"/>
        </w:rPr>
        <w:t>中标/成交</w:t>
      </w:r>
      <w:r>
        <w:rPr>
          <w:rFonts w:hint="eastAsia" w:ascii="宋体" w:hAnsi="宋体" w:eastAsia="宋体" w:cs="宋体"/>
          <w:color w:val="auto"/>
          <w:kern w:val="0"/>
          <w:sz w:val="24"/>
          <w:szCs w:val="24"/>
          <w:highlight w:val="none"/>
        </w:rPr>
        <w:t>供应商无息返还</w:t>
      </w:r>
      <w:r>
        <w:rPr>
          <w:rFonts w:hint="eastAsia" w:ascii="宋体" w:hAnsi="宋体" w:cs="宋体"/>
          <w:color w:val="auto"/>
          <w:kern w:val="0"/>
          <w:sz w:val="24"/>
          <w:szCs w:val="24"/>
          <w:highlight w:val="none"/>
          <w:lang w:eastAsia="zh-CN"/>
        </w:rPr>
        <w:t>合同总价</w:t>
      </w:r>
      <w:r>
        <w:rPr>
          <w:rFonts w:hint="eastAsia" w:ascii="宋体" w:hAnsi="宋体" w:eastAsia="宋体" w:cs="宋体"/>
          <w:color w:val="auto"/>
          <w:kern w:val="0"/>
          <w:sz w:val="24"/>
          <w:szCs w:val="24"/>
          <w:highlight w:val="none"/>
        </w:rPr>
        <w:t>的</w:t>
      </w:r>
      <w:r>
        <w:rPr>
          <w:rFonts w:hint="eastAsia" w:ascii="宋体" w:hAnsi="宋体" w:cs="宋体"/>
          <w:color w:val="auto"/>
          <w:kern w:val="0"/>
          <w:sz w:val="24"/>
          <w:szCs w:val="24"/>
          <w:highlight w:val="none"/>
          <w:lang w:val="en-US" w:eastAsia="zh-CN"/>
        </w:rPr>
        <w:t>1.5</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eastAsia="zh-CN"/>
        </w:rPr>
        <w:t>履约保证金</w:t>
      </w:r>
      <w:r>
        <w:rPr>
          <w:rFonts w:hint="eastAsia" w:ascii="宋体" w:hAnsi="宋体" w:eastAsia="宋体" w:cs="宋体"/>
          <w:color w:val="auto"/>
          <w:kern w:val="0"/>
          <w:sz w:val="24"/>
          <w:szCs w:val="24"/>
          <w:highlight w:val="none"/>
        </w:rPr>
        <w:t>。</w:t>
      </w:r>
    </w:p>
    <w:p>
      <w:pPr>
        <w:tabs>
          <w:tab w:val="left" w:pos="5130"/>
        </w:tabs>
        <w:spacing w:line="360" w:lineRule="auto"/>
        <w:ind w:left="479" w:leftChars="228" w:firstLine="0" w:firstLineChars="0"/>
        <w:rPr>
          <w:rFonts w:ascii="宋体" w:hAnsi="宋体" w:cs="宋体"/>
          <w:color w:val="auto"/>
          <w:sz w:val="24"/>
          <w:szCs w:val="24"/>
          <w:highlight w:val="none"/>
        </w:rPr>
      </w:pPr>
      <w:r>
        <w:rPr>
          <w:rFonts w:hint="eastAsia" w:ascii="宋体" w:hAnsi="宋体" w:eastAsia="宋体" w:cs="宋体"/>
          <w:color w:val="auto"/>
          <w:kern w:val="0"/>
          <w:sz w:val="24"/>
          <w:szCs w:val="24"/>
          <w:highlight w:val="none"/>
        </w:rPr>
        <w:t>4.2.2</w:t>
      </w:r>
      <w:r>
        <w:rPr>
          <w:rFonts w:hint="eastAsia" w:ascii="宋体" w:hAnsi="宋体" w:cs="宋体"/>
          <w:color w:val="auto"/>
          <w:sz w:val="24"/>
          <w:szCs w:val="24"/>
          <w:highlight w:val="none"/>
        </w:rPr>
        <w:t>卖方供货安装、调试完毕，使用单位验收合格后，卖方开具合同总价100%的正规发票</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和全部货物清单给</w:t>
      </w:r>
      <w:r>
        <w:rPr>
          <w:rFonts w:hint="eastAsia" w:ascii="宋体" w:hAnsi="宋体" w:cs="宋体"/>
          <w:color w:val="auto"/>
          <w:sz w:val="24"/>
          <w:szCs w:val="24"/>
          <w:highlight w:val="none"/>
        </w:rPr>
        <w:t>买方</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15个</w:t>
      </w:r>
      <w:r>
        <w:rPr>
          <w:rFonts w:hint="eastAsia" w:ascii="宋体" w:hAnsi="宋体" w:cs="宋体"/>
          <w:color w:val="auto"/>
          <w:sz w:val="24"/>
          <w:szCs w:val="24"/>
          <w:highlight w:val="none"/>
        </w:rPr>
        <w:t>工作日内向卖方支付本合同总价100%的款项</w:t>
      </w:r>
      <w:r>
        <w:rPr>
          <w:rFonts w:hint="eastAsia" w:ascii="宋体" w:hAnsi="宋体" w:cs="宋体"/>
          <w:color w:val="auto"/>
          <w:sz w:val="24"/>
          <w:szCs w:val="24"/>
          <w:highlight w:val="none"/>
          <w:lang w:eastAsia="zh-CN"/>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6.5买方根据本合同约定提出换货、退货或解除合同的，卖方应在收到买方或使用单位通知后3个工作日内自行收回不符合合同约定的货物，并承担相应费用。</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货物验收后的维修等售后服务由卖方直接向最终用户提供，卖方应就货物售后服务与最终用户另行签订相应服务合同，买方不向最终用户承担售后服务义务。</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9.1卖方未能按时交货或未能按时交付使用的，每逾期一日，卖方应支付逾期交货货款1‰的违约金。逾期超过10个日历日，买方有权单方解除本合同，卖方应另外支付合同总价20％的违约金。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依据与最终用户的服务协议直接向最终用户履行保修等售后服务义务。</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12.4</w:t>
      </w:r>
      <w:r>
        <w:rPr>
          <w:rFonts w:hint="eastAsia" w:ascii="宋体" w:hAnsi="宋体" w:cs="宋体"/>
          <w:color w:val="auto"/>
          <w:sz w:val="24"/>
          <w:szCs w:val="24"/>
          <w:highlight w:val="none"/>
        </w:rPr>
        <w:t>本合同经双方签订之日起生效。一式伍份，买方贰份，卖方贰份，送</w:t>
      </w:r>
      <w:r>
        <w:rPr>
          <w:rFonts w:hint="eastAsia" w:ascii="宋体" w:hAnsi="宋体" w:cs="宋体"/>
          <w:color w:val="auto"/>
          <w:sz w:val="24"/>
          <w:szCs w:val="24"/>
          <w:highlight w:val="none"/>
        </w:rPr>
        <w:t>厦门市财政局政府采购监管处</w:t>
      </w:r>
      <w:r>
        <w:rPr>
          <w:rFonts w:hint="eastAsia" w:ascii="宋体" w:hAnsi="宋体" w:cs="宋体"/>
          <w:color w:val="auto"/>
          <w:sz w:val="24"/>
          <w:szCs w:val="24"/>
          <w:highlight w:val="none"/>
        </w:rPr>
        <w:t>备案壹份，具有同等法律效力。</w:t>
      </w:r>
    </w:p>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0" w:name="yf2"/>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1" w:name="yfzcdz"/>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2" w:name="yffddbr"/>
            <w:bookmarkEnd w:id="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bookmarkStart w:id="3" w:name="yflxdh"/>
            <w:bookmarkEnd w:id="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bookmarkStart w:id="4" w:name="yfkhh"/>
            <w:bookmarkEnd w:id="4"/>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35101570201052503924  </w:t>
            </w: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bookmarkStart w:id="5" w:name="yfzh"/>
            <w:bookmarkEnd w:id="5"/>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tcBorders>
              <w:top w:val="single" w:color="auto" w:sz="4" w:space="0"/>
              <w:left w:val="nil"/>
              <w:bottom w:val="single" w:color="auto" w:sz="4" w:space="0"/>
              <w:right w:val="single" w:color="auto" w:sz="4" w:space="0"/>
            </w:tcBorders>
            <w:shd w:val="clear" w:color="auto" w:fill="auto"/>
            <w:vAlign w:val="center"/>
          </w:tcPr>
          <w:p>
            <w:pPr>
              <w:pStyle w:val="6"/>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pPr>
        <w:spacing w:line="360" w:lineRule="auto"/>
        <w:rPr>
          <w:rFonts w:hint="eastAsia" w:ascii="宋体" w:hAnsi="宋体" w:eastAsia="宋体" w:cs="宋体"/>
          <w:color w:val="auto"/>
          <w:sz w:val="24"/>
          <w:szCs w:val="24"/>
          <w:highlight w:val="none"/>
        </w:rPr>
      </w:pPr>
    </w:p>
    <w:p>
      <w:pPr>
        <w:spacing w:line="360" w:lineRule="auto"/>
        <w:ind w:firstLine="600" w:firstLineChars="250"/>
        <w:rPr>
          <w:rFonts w:ascii="宋体" w:hAnsi="宋体" w:cs="宋体"/>
          <w:color w:val="auto"/>
          <w:sz w:val="24"/>
          <w:szCs w:val="24"/>
          <w:highlight w:val="none"/>
        </w:rPr>
      </w:pPr>
    </w:p>
    <w:p>
      <w:pPr>
        <w:spacing w:line="360" w:lineRule="auto"/>
        <w:ind w:firstLine="600" w:firstLineChars="250"/>
        <w:rPr>
          <w:rFonts w:ascii="宋体" w:hAnsi="宋体" w:cs="宋体"/>
          <w:color w:val="auto"/>
          <w:sz w:val="24"/>
          <w:szCs w:val="24"/>
          <w:highlight w:val="none"/>
        </w:rPr>
      </w:pPr>
    </w:p>
    <w:p>
      <w:pPr>
        <w:spacing w:line="360" w:lineRule="auto"/>
        <w:ind w:firstLine="600" w:firstLineChars="250"/>
        <w:rPr>
          <w:rFonts w:ascii="宋体" w:hAnsi="宋体" w:cs="宋体"/>
          <w:color w:val="auto"/>
          <w:sz w:val="24"/>
          <w:szCs w:val="24"/>
          <w:highlight w:val="none"/>
        </w:rPr>
      </w:pPr>
    </w:p>
    <w:p>
      <w:pPr>
        <w:spacing w:line="360" w:lineRule="auto"/>
        <w:ind w:firstLine="600" w:firstLineChars="250"/>
        <w:rPr>
          <w:rFonts w:ascii="宋体" w:hAnsi="宋体" w:cs="宋体"/>
          <w:color w:val="auto"/>
          <w:sz w:val="24"/>
          <w:szCs w:val="24"/>
          <w:highlight w:val="none"/>
        </w:rPr>
      </w:pPr>
    </w:p>
    <w:p>
      <w:pPr>
        <w:keepNext w:val="0"/>
        <w:keepLines w:val="0"/>
        <w:widowControl/>
        <w:suppressLineNumbers w:val="0"/>
        <w:ind w:left="-850" w:leftChars="-405"/>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pPr>
        <w:pStyle w:val="6"/>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pPr>
              <w:pStyle w:val="13"/>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3"/>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pPr>
        <w:spacing w:line="360" w:lineRule="auto"/>
        <w:rPr>
          <w:rFonts w:hint="default" w:ascii="宋体" w:hAnsi="宋体" w:cs="宋体"/>
          <w:color w:val="auto"/>
          <w:sz w:val="24"/>
          <w:szCs w:val="24"/>
          <w:highlight w:val="none"/>
        </w:rPr>
        <w:sectPr>
          <w:footerReference r:id="rId3" w:type="default"/>
          <w:pgSz w:w="11906" w:h="16838"/>
          <w:pgMar w:top="1440" w:right="1800" w:bottom="1440" w:left="1800" w:header="851" w:footer="992" w:gutter="0"/>
          <w:cols w:space="720" w:num="1"/>
          <w:docGrid w:type="lines" w:linePitch="312" w:charSpace="0"/>
        </w:sectPr>
      </w:pPr>
    </w:p>
    <w:p>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12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71770" cy="7526655"/>
                    </a:xfrm>
                    <a:prstGeom prst="rect">
                      <a:avLst/>
                    </a:prstGeom>
                  </pic:spPr>
                </pic:pic>
              </a:graphicData>
            </a:graphic>
          </wp:inline>
        </w:drawing>
      </w:r>
    </w:p>
    <w:p>
      <w:pPr>
        <w:spacing w:line="360" w:lineRule="auto"/>
        <w:jc w:val="center"/>
        <w:rPr>
          <w:rFonts w:ascii="宋体" w:hAnsi="宋体" w:cs="宋体"/>
          <w:b/>
          <w:bCs/>
          <w:color w:val="auto"/>
          <w:sz w:val="24"/>
          <w:szCs w:val="24"/>
          <w:highlight w:val="none"/>
        </w:rPr>
      </w:pPr>
    </w:p>
    <w:p>
      <w:pPr>
        <w:spacing w:line="360" w:lineRule="auto"/>
        <w:rPr>
          <w:rFonts w:ascii="宋体" w:hAnsi="宋体" w:cs="宋体"/>
          <w:color w:val="auto"/>
          <w:sz w:val="24"/>
          <w:szCs w:val="24"/>
          <w:highlight w:val="none"/>
        </w:rPr>
      </w:pPr>
    </w:p>
    <w:p>
      <w:pPr>
        <w:spacing w:line="360" w:lineRule="auto"/>
        <w:rPr>
          <w:rFonts w:ascii="宋体" w:hAnsi="宋体" w:cs="宋体"/>
          <w:color w:val="auto"/>
          <w:sz w:val="24"/>
          <w:szCs w:val="24"/>
          <w:highlight w:val="none"/>
        </w:rPr>
      </w:pPr>
    </w:p>
    <w:p>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XM2024-DZ0003</w:t>
      </w:r>
      <w:r>
        <w:rPr>
          <w:rFonts w:hint="eastAsia" w:ascii="宋体" w:hAnsi="宋体" w:cs="宋体"/>
          <w:b/>
          <w:bCs/>
          <w:color w:val="auto"/>
          <w:sz w:val="24"/>
          <w:szCs w:val="24"/>
          <w:highlight w:val="none"/>
        </w:rPr>
        <w:t>买卖合同</w:t>
      </w:r>
    </w:p>
    <w:p>
      <w:pPr>
        <w:spacing w:line="360" w:lineRule="auto"/>
        <w:ind w:right="480"/>
        <w:jc w:val="center"/>
        <w:rPr>
          <w:rFonts w:ascii="宋体" w:hAnsi="宋体" w:cs="宋体"/>
          <w:color w:val="auto"/>
          <w:sz w:val="24"/>
          <w:szCs w:val="24"/>
          <w:highlight w:val="none"/>
        </w:rPr>
      </w:pPr>
    </w:p>
    <w:p>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买方委托卖方采购      ，</w:t>
      </w: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XM2024</w:t>
      </w:r>
      <w:r>
        <w:rPr>
          <w:rFonts w:hint="eastAsia" w:ascii="宋体" w:hAnsi="宋体" w:cs="宋体"/>
          <w:color w:val="auto"/>
          <w:sz w:val="24"/>
          <w:szCs w:val="24"/>
          <w:highlight w:val="none"/>
          <w:u w:val="single"/>
        </w:rPr>
        <w:t>-DZ0</w:t>
      </w:r>
      <w:r>
        <w:rPr>
          <w:rFonts w:hint="eastAsia" w:ascii="宋体" w:hAnsi="宋体" w:cs="宋体"/>
          <w:color w:val="auto"/>
          <w:sz w:val="24"/>
          <w:szCs w:val="24"/>
          <w:highlight w:val="none"/>
        </w:rPr>
        <w:t>的招标（采购）文件、投标（报价）文件以及评审结果通知书（中标/成交</w:t>
      </w:r>
      <w:r>
        <w:rPr>
          <w:rFonts w:hint="eastAsia" w:ascii="宋体" w:hAnsi="宋体" w:cs="宋体"/>
          <w:color w:val="auto"/>
          <w:sz w:val="24"/>
          <w:szCs w:val="24"/>
          <w:highlight w:val="none"/>
        </w:rPr>
        <w:t>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rPr>
        <w:t>，买卖双方经协商一致，就卖方将从中标/成交供应商处采购的货物出售给买方、并约定由中标/成交供应商直接向买方履行安装及售后服务等义务，特制定本合同，以资共同遵守：</w:t>
      </w:r>
    </w:p>
    <w:p>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9"/>
        <w:tblW w:w="8365" w:type="dxa"/>
        <w:tblInd w:w="103" w:type="dxa"/>
        <w:tblLayout w:type="fixed"/>
        <w:tblCellMar>
          <w:top w:w="0" w:type="dxa"/>
          <w:left w:w="108" w:type="dxa"/>
          <w:bottom w:w="0" w:type="dxa"/>
          <w:right w:w="108" w:type="dxa"/>
        </w:tblCellMar>
      </w:tblPr>
      <w:tblGrid>
        <w:gridCol w:w="1281"/>
        <w:gridCol w:w="2268"/>
        <w:gridCol w:w="1817"/>
        <w:gridCol w:w="1338"/>
        <w:gridCol w:w="1661"/>
      </w:tblGrid>
      <w:tr>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p>
        </w:tc>
      </w:tr>
      <w:tr>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pPr>
              <w:widowControl/>
              <w:spacing w:line="360" w:lineRule="auto"/>
              <w:ind w:firstLine="240" w:firstLineChars="100"/>
              <w:jc w:val="left"/>
              <w:rPr>
                <w:rFonts w:ascii="宋体" w:hAnsi="宋体" w:cs="宋体"/>
                <w:color w:val="auto"/>
                <w:kern w:val="0"/>
                <w:sz w:val="24"/>
                <w:szCs w:val="24"/>
                <w:highlight w:val="none"/>
              </w:rPr>
            </w:pPr>
          </w:p>
        </w:tc>
        <w:tc>
          <w:tcPr>
            <w:tcW w:w="2268" w:type="dxa"/>
            <w:tcBorders>
              <w:top w:val="nil"/>
              <w:left w:val="nil"/>
              <w:bottom w:val="single" w:color="auto" w:sz="4" w:space="0"/>
              <w:right w:val="single" w:color="auto" w:sz="4" w:space="0"/>
            </w:tcBorders>
            <w:vAlign w:val="center"/>
          </w:tcPr>
          <w:p>
            <w:pPr>
              <w:spacing w:line="360" w:lineRule="auto"/>
              <w:rPr>
                <w:rFonts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pPr>
              <w:spacing w:line="360" w:lineRule="auto"/>
              <w:jc w:val="center"/>
              <w:rPr>
                <w:rFonts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pPr>
              <w:widowControl/>
              <w:spacing w:line="360" w:lineRule="auto"/>
              <w:jc w:val="center"/>
              <w:rPr>
                <w:rFonts w:ascii="宋体" w:hAnsi="宋体" w:cs="宋体"/>
                <w:color w:val="auto"/>
                <w:kern w:val="0"/>
                <w:sz w:val="24"/>
                <w:szCs w:val="24"/>
                <w:highlight w:val="none"/>
              </w:rPr>
            </w:pPr>
          </w:p>
        </w:tc>
      </w:tr>
      <w:tr>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pPr>
              <w:widowControl/>
              <w:spacing w:line="360" w:lineRule="auto"/>
              <w:rPr>
                <w:rFonts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lang w:eastAsia="zh-CN"/>
              </w:rPr>
              <w:t>）</w:t>
            </w:r>
            <w:r>
              <w:rPr>
                <w:rFonts w:hint="eastAsia" w:ascii="宋体" w:hAnsi="宋体" w:cs="宋体"/>
                <w:b/>
                <w:bCs/>
                <w:color w:val="auto"/>
                <w:kern w:val="0"/>
                <w:sz w:val="24"/>
                <w:szCs w:val="24"/>
                <w:highlight w:val="none"/>
              </w:rPr>
              <w:t>：</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2.1交货期：合同签订之日</w:t>
      </w:r>
      <w:r>
        <w:rPr>
          <w:rFonts w:hint="eastAsia" w:ascii="宋体" w:hAnsi="宋体" w:cs="宋体"/>
          <w:color w:val="auto"/>
          <w:sz w:val="24"/>
          <w:szCs w:val="24"/>
          <w:highlight w:val="none"/>
        </w:rPr>
        <w:t>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w:t>
      </w:r>
      <w:r>
        <w:rPr>
          <w:rFonts w:hint="eastAsia" w:ascii="宋体" w:hAnsi="宋体" w:cs="宋体"/>
          <w:color w:val="auto"/>
          <w:sz w:val="24"/>
          <w:szCs w:val="24"/>
          <w:highlight w:val="none"/>
        </w:rPr>
        <w:t>历日内（含交货、安装并验收合格交付使用）。</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2.3到货签收：卖方每批次供货到买方指定地点后，买方应当对到货数量、型号等进行清点签收，买方应按第4条约定的付款条件向卖方支付约定的货款。</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3.2安装工作完成后，买方负责对合同货物进行验收。买方验收合格即视为最终验收合格；若无正当理由，买方超过30天仍未验收且未提出书面异议的，则视为最终验收合格。</w:t>
      </w:r>
    </w:p>
    <w:p>
      <w:pPr>
        <w:pStyle w:val="7"/>
        <w:spacing w:after="0" w:line="360" w:lineRule="auto"/>
        <w:ind w:firstLine="240"/>
        <w:rPr>
          <w:rFonts w:ascii="宋体" w:hAnsi="宋体" w:cs="宋体"/>
          <w:color w:val="auto"/>
          <w:sz w:val="24"/>
          <w:highlight w:val="none"/>
        </w:rPr>
      </w:pPr>
      <w:r>
        <w:rPr>
          <w:rFonts w:hint="eastAsia" w:ascii="宋体" w:hAnsi="宋体" w:cs="宋体"/>
          <w:color w:val="auto"/>
          <w:sz w:val="24"/>
          <w:highlight w:val="none"/>
          <w:lang w:val="en-US"/>
        </w:rPr>
        <w:t xml:space="preserve"> 3.3</w:t>
      </w:r>
      <w:r>
        <w:rPr>
          <w:rFonts w:hint="eastAsia" w:ascii="宋体" w:hAnsi="宋体" w:cs="宋体"/>
          <w:color w:val="auto"/>
          <w:sz w:val="24"/>
          <w:highlight w:val="none"/>
        </w:rPr>
        <w:t>买方在货物安装完毕后发现货物存在问题的，应在货物交付后</w:t>
      </w:r>
      <w:r>
        <w:rPr>
          <w:rFonts w:hint="eastAsia" w:ascii="宋体" w:hAnsi="宋体" w:cs="宋体"/>
          <w:color w:val="auto"/>
          <w:sz w:val="24"/>
          <w:highlight w:val="none"/>
          <w:u w:val="single"/>
        </w:rPr>
        <w:t xml:space="preserve"> 5 </w:t>
      </w:r>
      <w:r>
        <w:rPr>
          <w:rFonts w:hint="eastAsia" w:ascii="宋体" w:hAnsi="宋体" w:cs="宋体"/>
          <w:color w:val="auto"/>
          <w:sz w:val="24"/>
          <w:highlight w:val="none"/>
        </w:rPr>
        <w:t>个工作日内向卖方提出书面异议，逾期提出书面异议的，视为最终验收合格。</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》中货物相关信息，签署验收意见和加盖公章，并分别提供一份给中标供应商和卖方。</w:t>
      </w:r>
    </w:p>
    <w:p>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w:t>
      </w:r>
      <w:r>
        <w:rPr>
          <w:rFonts w:hint="eastAsia" w:ascii="宋体" w:hAnsi="宋体" w:cs="宋体"/>
          <w:color w:val="auto"/>
          <w:sz w:val="24"/>
          <w:szCs w:val="24"/>
          <w:highlight w:val="none"/>
        </w:rPr>
        <w:t>合同签订后</w:t>
      </w:r>
      <w:r>
        <w:rPr>
          <w:rFonts w:hint="eastAsia" w:ascii="宋体" w:hAnsi="宋体" w:cs="宋体"/>
          <w:color w:val="auto"/>
          <w:sz w:val="24"/>
          <w:szCs w:val="24"/>
          <w:highlight w:val="none"/>
          <w:lang w:eastAsia="zh-CN"/>
        </w:rPr>
        <w:t>15个</w:t>
      </w:r>
      <w:r>
        <w:rPr>
          <w:rFonts w:hint="eastAsia" w:ascii="宋体" w:hAnsi="宋体" w:cs="宋体"/>
          <w:color w:val="auto"/>
          <w:sz w:val="24"/>
          <w:szCs w:val="24"/>
          <w:highlight w:val="none"/>
        </w:rPr>
        <w:t>工作日内，买方向卖方支付合</w:t>
      </w:r>
      <w:r>
        <w:rPr>
          <w:rFonts w:hint="eastAsia" w:ascii="宋体" w:hAnsi="宋体" w:cs="宋体"/>
          <w:color w:val="auto"/>
          <w:sz w:val="24"/>
          <w:szCs w:val="24"/>
          <w:highlight w:val="none"/>
        </w:rPr>
        <w:t>同总价</w:t>
      </w:r>
      <w:r>
        <w:rPr>
          <w:rFonts w:hint="eastAsia" w:ascii="宋体" w:hAnsi="宋体" w:cs="宋体"/>
          <w:color w:val="auto"/>
          <w:sz w:val="24"/>
          <w:szCs w:val="24"/>
          <w:highlight w:val="none"/>
          <w:u w:val="single"/>
          <w:lang w:val="en-US" w:eastAsia="zh-CN"/>
        </w:rPr>
        <w:t>50</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%的</w:t>
      </w:r>
      <w:r>
        <w:rPr>
          <w:rFonts w:hint="eastAsia" w:ascii="宋体" w:hAnsi="宋体" w:cs="宋体"/>
          <w:color w:val="auto"/>
          <w:sz w:val="24"/>
          <w:szCs w:val="24"/>
          <w:highlight w:val="none"/>
        </w:rPr>
        <w:t>预付款。</w:t>
      </w:r>
    </w:p>
    <w:p>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4.2卖方供货安装、调试完毕，买方验收合格后，卖方开具合同总价100%的正规发票和全部货物清单给买方，买方在</w:t>
      </w:r>
      <w:r>
        <w:rPr>
          <w:rFonts w:hint="eastAsia" w:ascii="宋体" w:hAnsi="宋体" w:cs="宋体"/>
          <w:color w:val="auto"/>
          <w:sz w:val="24"/>
          <w:szCs w:val="24"/>
          <w:highlight w:val="none"/>
          <w:lang w:eastAsia="zh-CN"/>
        </w:rPr>
        <w:t>15个</w:t>
      </w:r>
      <w:r>
        <w:rPr>
          <w:rFonts w:hint="eastAsia" w:ascii="宋体" w:hAnsi="宋体" w:cs="宋体"/>
          <w:color w:val="auto"/>
          <w:sz w:val="24"/>
          <w:szCs w:val="24"/>
          <w:highlight w:val="none"/>
        </w:rPr>
        <w:t>工作日内向卖方支付</w:t>
      </w:r>
      <w:r>
        <w:rPr>
          <w:rFonts w:hint="eastAsia" w:ascii="宋体" w:hAnsi="宋体" w:cs="宋体"/>
          <w:color w:val="auto"/>
          <w:sz w:val="24"/>
          <w:szCs w:val="24"/>
          <w:highlight w:val="none"/>
          <w:lang w:val="en-US" w:eastAsia="zh-CN"/>
        </w:rPr>
        <w:t>至</w:t>
      </w:r>
      <w:r>
        <w:rPr>
          <w:rFonts w:hint="eastAsia" w:ascii="宋体" w:hAnsi="宋体" w:cs="宋体"/>
          <w:color w:val="auto"/>
          <w:sz w:val="24"/>
          <w:szCs w:val="24"/>
          <w:highlight w:val="none"/>
        </w:rPr>
        <w:t>本合同总价100%的款项。</w:t>
      </w:r>
    </w:p>
    <w:p>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sz w:val="24"/>
          <w:szCs w:val="24"/>
          <w:highlight w:val="none"/>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6.1除不可抗力外，买方不能在本合同规定的时间内支付相应的货款时,应向卖方支付违约金,其支付办法是,每延迟一日,违约金为逾期应付款的万分之四,依此累加。</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卖方不能按时交货或完成安装时,应提前五天以书面的形式通知买方,并征得买方同意,否则应向买方支付违约金,其支付办法是,每延迟一日,违约金为逾期交货或安装部分价款的万分之四，依此累加。</w:t>
      </w:r>
    </w:p>
    <w:p>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7.2本合同中的不可抗力指不能预见、不能避免并不能克服的客观情况。包括但不限于：自然灾害如地震、台风、洪水、火灾；政府行为、法律规定或其适用的变化或者其他任何无法预见、避免或者控制的事件。</w:t>
      </w:r>
    </w:p>
    <w:p>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9.1买卖双方同意，卖方供货经买方验收完成后，卖方即履行完毕所有合同义务。</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w:t>
      </w:r>
      <w:r>
        <w:rPr>
          <w:rFonts w:hint="eastAsia" w:ascii="宋体" w:hAnsi="宋体" w:cs="宋体"/>
          <w:color w:val="auto"/>
          <w:sz w:val="24"/>
          <w:szCs w:val="24"/>
          <w:highlight w:val="none"/>
        </w:rPr>
        <w:t>厦门市财政局政府采购监管处备</w:t>
      </w:r>
      <w:r>
        <w:rPr>
          <w:rFonts w:hint="eastAsia" w:ascii="宋体" w:hAnsi="宋体" w:cs="宋体"/>
          <w:color w:val="auto"/>
          <w:sz w:val="24"/>
          <w:szCs w:val="24"/>
          <w:highlight w:val="none"/>
        </w:rPr>
        <w:t>案壹份，具有同等法律效力。</w:t>
      </w:r>
    </w:p>
    <w:p>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9"/>
        <w:tblW w:w="9348" w:type="dxa"/>
        <w:jc w:val="center"/>
        <w:tblLayout w:type="fixed"/>
        <w:tblCellMar>
          <w:top w:w="0" w:type="dxa"/>
          <w:left w:w="108" w:type="dxa"/>
          <w:bottom w:w="0" w:type="dxa"/>
          <w:right w:w="108" w:type="dxa"/>
        </w:tblCellMar>
      </w:tblPr>
      <w:tblGrid>
        <w:gridCol w:w="1442"/>
        <w:gridCol w:w="3121"/>
        <w:gridCol w:w="1486"/>
        <w:gridCol w:w="3299"/>
      </w:tblGrid>
      <w:tr>
        <w:tblPrEx>
          <w:tblCellMar>
            <w:top w:w="0" w:type="dxa"/>
            <w:left w:w="108" w:type="dxa"/>
            <w:bottom w:w="0" w:type="dxa"/>
            <w:right w:w="108" w:type="dxa"/>
          </w:tblCellMar>
        </w:tblPrEx>
        <w:trPr>
          <w:trHeight w:val="438"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tblPrEx>
          <w:tblCellMar>
            <w:top w:w="0" w:type="dxa"/>
            <w:left w:w="108" w:type="dxa"/>
            <w:bottom w:w="0" w:type="dxa"/>
            <w:right w:w="108" w:type="dxa"/>
          </w:tblCellMar>
        </w:tblPrEx>
        <w:trPr>
          <w:trHeight w:val="58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 xml:space="preserve">厦门市湖里区机场北路476号 </w:t>
            </w:r>
          </w:p>
        </w:tc>
      </w:tr>
      <w:tr>
        <w:tblPrEx>
          <w:tblCellMar>
            <w:top w:w="0" w:type="dxa"/>
            <w:left w:w="108" w:type="dxa"/>
            <w:bottom w:w="0" w:type="dxa"/>
            <w:right w:w="108" w:type="dxa"/>
          </w:tblCellMar>
        </w:tblPrEx>
        <w:trPr>
          <w:trHeight w:val="499"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tblPrEx>
          <w:tblCellMar>
            <w:top w:w="0" w:type="dxa"/>
            <w:left w:w="108" w:type="dxa"/>
            <w:bottom w:w="0" w:type="dxa"/>
            <w:right w:w="108" w:type="dxa"/>
          </w:tblCellMar>
        </w:tblPrEx>
        <w:trPr>
          <w:trHeight w:val="542"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tblPrEx>
          <w:tblCellMar>
            <w:top w:w="0" w:type="dxa"/>
            <w:left w:w="108" w:type="dxa"/>
            <w:bottom w:w="0" w:type="dxa"/>
            <w:right w:w="108" w:type="dxa"/>
          </w:tblCellMar>
        </w:tblPrEx>
        <w:trPr>
          <w:trHeight w:val="327"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highlight w:val="none"/>
              </w:rPr>
            </w:pPr>
          </w:p>
        </w:tc>
      </w:tr>
      <w:tr>
        <w:tblPrEx>
          <w:tblCellMar>
            <w:top w:w="0" w:type="dxa"/>
            <w:left w:w="108" w:type="dxa"/>
            <w:bottom w:w="0" w:type="dxa"/>
            <w:right w:w="108" w:type="dxa"/>
          </w:tblCellMar>
        </w:tblPrEx>
        <w:trPr>
          <w:trHeight w:val="74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tcBorders>
              <w:top w:val="single" w:color="auto" w:sz="4" w:space="0"/>
              <w:left w:val="nil"/>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tblPrEx>
          <w:tblCellMar>
            <w:top w:w="0" w:type="dxa"/>
            <w:left w:w="108" w:type="dxa"/>
            <w:bottom w:w="0" w:type="dxa"/>
            <w:right w:w="108" w:type="dxa"/>
          </w:tblCellMar>
        </w:tblPrEx>
        <w:trPr>
          <w:trHeight w:val="33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tcBorders>
              <w:top w:val="single" w:color="auto" w:sz="4" w:space="0"/>
              <w:left w:val="nil"/>
              <w:bottom w:val="single" w:color="auto" w:sz="4" w:space="0"/>
              <w:right w:val="single" w:color="auto" w:sz="4" w:space="0"/>
            </w:tcBorders>
            <w:vAlign w:val="center"/>
          </w:tcPr>
          <w:p>
            <w:pPr>
              <w:pStyle w:val="6"/>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cs="宋体"/>
                <w:color w:val="auto"/>
                <w:sz w:val="24"/>
                <w:szCs w:val="24"/>
                <w:highlight w:val="none"/>
              </w:rPr>
              <w:t xml:space="preserve">35101570201052503924  </w:t>
            </w:r>
          </w:p>
        </w:tc>
      </w:tr>
      <w:tr>
        <w:tblPrEx>
          <w:tblCellMar>
            <w:top w:w="0" w:type="dxa"/>
            <w:left w:w="108" w:type="dxa"/>
            <w:bottom w:w="0" w:type="dxa"/>
            <w:right w:w="108" w:type="dxa"/>
          </w:tblCellMar>
        </w:tblPrEx>
        <w:trPr>
          <w:trHeight w:val="46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tcBorders>
              <w:top w:val="single" w:color="auto" w:sz="4" w:space="0"/>
              <w:left w:val="single" w:color="auto" w:sz="4" w:space="0"/>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tcBorders>
              <w:top w:val="single" w:color="auto" w:sz="4" w:space="0"/>
              <w:left w:val="nil"/>
              <w:bottom w:val="single" w:color="auto" w:sz="4" w:space="0"/>
              <w:right w:val="single" w:color="auto" w:sz="4" w:space="0"/>
            </w:tcBorders>
            <w:vAlign w:val="center"/>
          </w:tcPr>
          <w:p>
            <w:pPr>
              <w:pStyle w:val="5"/>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pPr>
        <w:pStyle w:val="14"/>
        <w:widowControl/>
        <w:ind w:left="-850" w:leftChars="-405" w:firstLine="0"/>
        <w:rPr>
          <w:rFonts w:hint="default" w:ascii="华文楷体" w:hAnsi="华文楷体" w:eastAsia="华文楷体" w:cs="华文楷体"/>
          <w:b/>
          <w:bCs w:val="0"/>
          <w:color w:val="auto"/>
          <w:kern w:val="2"/>
          <w:sz w:val="28"/>
          <w:szCs w:val="28"/>
          <w:highlight w:val="none"/>
        </w:rPr>
        <w:sectPr>
          <w:footerReference r:id="rId4" w:type="default"/>
          <w:pgSz w:w="11906" w:h="16838"/>
          <w:pgMar w:top="1440" w:right="1800" w:bottom="1440" w:left="1800" w:header="851" w:footer="992" w:gutter="0"/>
          <w:cols w:space="720" w:num="1"/>
          <w:docGrid w:type="lines" w:linePitch="312" w:charSpace="0"/>
        </w:sectPr>
      </w:pPr>
    </w:p>
    <w:p>
      <w:pPr>
        <w:pStyle w:val="14"/>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pPr>
        <w:pStyle w:val="15"/>
        <w:rPr>
          <w:rFonts w:hint="eastAsia" w:ascii="宋体" w:hAnsi="宋体" w:cs="宋体"/>
          <w:color w:val="auto"/>
          <w:sz w:val="24"/>
          <w:szCs w:val="24"/>
          <w:highlight w:val="none"/>
        </w:rPr>
      </w:pPr>
    </w:p>
    <w:tbl>
      <w:tblPr>
        <w:tblStyle w:val="10"/>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pPr>
              <w:pStyle w:val="13"/>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pPr>
              <w:pStyle w:val="1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pPr>
        <w:pStyle w:val="14"/>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pPr>
        <w:pStyle w:val="14"/>
        <w:widowControl/>
        <w:ind w:left="-850" w:leftChars="-405" w:firstLine="0"/>
        <w:rPr>
          <w:rFonts w:hint="eastAsia" w:ascii="华文楷体" w:hAnsi="华文楷体" w:eastAsia="华文楷体" w:cs="华文楷体"/>
          <w:b/>
          <w:bCs w:val="0"/>
          <w:color w:val="auto"/>
          <w:kern w:val="2"/>
          <w:sz w:val="28"/>
          <w:szCs w:val="28"/>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pPr>
        <w:rPr>
          <w:rFonts w:hint="eastAsia" w:ascii="宋体" w:hAnsi="宋体" w:cs="宋体"/>
          <w:color w:val="auto"/>
          <w:sz w:val="24"/>
          <w:szCs w:val="24"/>
          <w:highlight w:val="none"/>
        </w:rPr>
      </w:pPr>
    </w:p>
    <w:p>
      <w:pPr>
        <w:pStyle w:val="14"/>
        <w:widowControl/>
        <w:spacing w:line="360" w:lineRule="auto"/>
        <w:ind w:left="-850" w:leftChars="-405"/>
        <w:rPr>
          <w:rFonts w:ascii="宋体" w:hAnsi="宋体" w:cs="宋体"/>
          <w:color w:val="auto"/>
          <w:sz w:val="24"/>
          <w:szCs w:val="24"/>
          <w:highlight w:val="none"/>
        </w:rPr>
      </w:pPr>
      <w:r>
        <w:rPr>
          <w:rFonts w:hint="eastAsia" w:ascii="宋体" w:hAnsi="宋体"/>
          <w:b/>
          <w:bCs/>
          <w:color w:val="auto"/>
          <w:sz w:val="36"/>
          <w:szCs w:val="36"/>
          <w:highlight w:val="none"/>
        </w:rPr>
        <w:drawing>
          <wp:inline distT="0" distB="0" distL="114300" distR="114300">
            <wp:extent cx="5274310" cy="7529195"/>
            <wp:effectExtent l="0" t="0" r="13970" b="146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8"/>
                    <a:stretch>
                      <a:fillRect/>
                    </a:stretch>
                  </pic:blipFill>
                  <pic:spPr>
                    <a:xfrm>
                      <a:off x="0" y="0"/>
                      <a:ext cx="5274310" cy="7529195"/>
                    </a:xfrm>
                    <a:prstGeom prst="rect">
                      <a:avLst/>
                    </a:prstGeom>
                    <a:noFill/>
                    <a:ln>
                      <a:noFill/>
                    </a:ln>
                  </pic:spPr>
                </pic:pic>
              </a:graphicData>
            </a:graphic>
          </wp:inline>
        </w:drawing>
      </w:r>
    </w:p>
    <w:p>
      <w:pPr>
        <w:spacing w:line="360" w:lineRule="auto"/>
        <w:rPr>
          <w:rFonts w:ascii="宋体" w:hAnsi="宋体" w:cs="宋体"/>
          <w:color w:val="auto"/>
          <w:sz w:val="24"/>
          <w:szCs w:val="24"/>
          <w:highlight w:val="none"/>
        </w:rPr>
      </w:pPr>
    </w:p>
    <w:p>
      <w:pPr>
        <w:rPr>
          <w:color w:val="auto"/>
          <w:highlight w:val="none"/>
        </w:rPr>
      </w:pPr>
    </w:p>
    <w:bookmarkEnd w:id="6"/>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140" w:firstLineChars="2300"/>
    </w:pPr>
    <w:r>
      <w:rPr>
        <w:rFonts w:hint="eastAsia" w:ascii="宋体" w:hAnsi="宋体"/>
        <w:szCs w:val="20"/>
      </w:rPr>
      <w:t>4</w:t>
    </w:r>
    <w:r>
      <w:rPr>
        <w:rFonts w:ascii="宋体" w:hAnsi="宋体"/>
        <w:szCs w:val="20"/>
      </w:rPr>
      <w:t>-</w:t>
    </w:r>
    <w:r>
      <w:rPr>
        <w:rFonts w:ascii="宋体" w:hAnsi="宋体"/>
        <w:szCs w:val="20"/>
      </w:rPr>
      <w:fldChar w:fldCharType="begin"/>
    </w:r>
    <w:r>
      <w:rPr>
        <w:rStyle w:val="12"/>
        <w:rFonts w:ascii="宋体" w:hAnsi="宋体"/>
        <w:szCs w:val="20"/>
      </w:rPr>
      <w:instrText xml:space="preserve"> PAGE </w:instrText>
    </w:r>
    <w:r>
      <w:rPr>
        <w:rFonts w:ascii="宋体" w:hAnsi="宋体"/>
        <w:szCs w:val="20"/>
      </w:rPr>
      <w:fldChar w:fldCharType="separate"/>
    </w:r>
    <w:r>
      <w:rPr>
        <w:rStyle w:val="12"/>
        <w:rFonts w:ascii="宋体" w:hAnsi="宋体"/>
        <w:szCs w:val="20"/>
      </w:rPr>
      <w:t>5</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2"/>
        <w:rFonts w:ascii="宋体" w:hAnsi="宋体"/>
        <w:szCs w:val="20"/>
      </w:rPr>
      <w:instrText xml:space="preserve"> PAGE </w:instrText>
    </w:r>
    <w:r>
      <w:rPr>
        <w:rFonts w:ascii="宋体" w:hAnsi="宋体"/>
        <w:szCs w:val="20"/>
      </w:rPr>
      <w:fldChar w:fldCharType="separate"/>
    </w:r>
    <w:r>
      <w:rPr>
        <w:rStyle w:val="12"/>
        <w:rFonts w:ascii="宋体" w:hAnsi="宋体"/>
        <w:szCs w:val="20"/>
      </w:rPr>
      <w:t>5</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2"/>
        <w:rFonts w:ascii="宋体" w:hAnsi="宋体"/>
        <w:szCs w:val="20"/>
      </w:rPr>
      <w:instrText xml:space="preserve"> PAGE </w:instrText>
    </w:r>
    <w:r>
      <w:rPr>
        <w:rFonts w:ascii="宋体" w:hAnsi="宋体"/>
        <w:szCs w:val="20"/>
      </w:rPr>
      <w:fldChar w:fldCharType="separate"/>
    </w:r>
    <w:r>
      <w:rPr>
        <w:rStyle w:val="12"/>
        <w:rFonts w:ascii="宋体" w:hAnsi="宋体"/>
        <w:szCs w:val="20"/>
      </w:rPr>
      <w:t>5</w:t>
    </w:r>
    <w:r>
      <w:rPr>
        <w:rFonts w:ascii="宋体" w:hAnsi="宋体"/>
        <w:szCs w:val="20"/>
      </w:rPr>
      <w:fldChar w:fldCharType="end"/>
    </w:r>
    <w:r>
      <w:rPr>
        <w:rFonts w:ascii="宋体" w:hAnsi="宋体"/>
        <w:szCs w:val="20"/>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A261F09"/>
    <w:rsid w:val="18950986"/>
    <w:rsid w:val="1BCA6B98"/>
    <w:rsid w:val="3FB452E6"/>
    <w:rsid w:val="54230695"/>
    <w:rsid w:val="5C5B3495"/>
    <w:rsid w:val="5D8F274D"/>
    <w:rsid w:val="67DF4865"/>
    <w:rsid w:val="7C9A0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w:basedOn w:val="1"/>
    <w:unhideWhenUsed/>
    <w:qFormat/>
    <w:uiPriority w:val="99"/>
    <w:pPr>
      <w:spacing w:after="120"/>
      <w:ind w:left="420" w:leftChars="200"/>
    </w:pPr>
  </w:style>
  <w:style w:type="paragraph" w:styleId="4">
    <w:name w:val="Plain Text"/>
    <w:basedOn w:val="1"/>
    <w:qFormat/>
    <w:uiPriority w:val="0"/>
    <w:rPr>
      <w:rFonts w:ascii="宋体" w:hAnsi="Courier New"/>
      <w:kern w:val="0"/>
      <w:sz w:val="20"/>
      <w:szCs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semiHidden/>
    <w:unhideWhenUsed/>
    <w:qFormat/>
    <w:uiPriority w:val="99"/>
    <w:rPr>
      <w:sz w:val="24"/>
    </w:rPr>
  </w:style>
  <w:style w:type="paragraph" w:styleId="7">
    <w:name w:val="Body Text First Indent"/>
    <w:basedOn w:val="2"/>
    <w:next w:val="8"/>
    <w:qFormat/>
    <w:uiPriority w:val="0"/>
    <w:pPr>
      <w:ind w:firstLine="420" w:firstLineChars="100"/>
    </w:pPr>
    <w:rPr>
      <w:rFonts w:ascii="Times New Roman" w:hAnsi="Times New Roman"/>
      <w:szCs w:val="24"/>
      <w:lang w:val="zh-CN"/>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59"/>
    <w:pPr>
      <w:keepNext w:val="0"/>
      <w:keepLines w:val="0"/>
      <w:widowControl w:val="0"/>
      <w:suppressLineNumbers w:val="0"/>
      <w:spacing w:before="0" w:beforeAutospacing="0" w:after="0" w:afterAutospacing="0"/>
      <w:ind w:left="0" w:right="0"/>
      <w:jc w:val="both"/>
    </w:pPr>
    <w:rPr>
      <w:rFonts w:hint="default" w:ascii="Calibri" w:hAnsi="Calibri"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2">
    <w:name w:val="page number"/>
    <w:basedOn w:val="11"/>
    <w:qFormat/>
    <w:uiPriority w:val="0"/>
  </w:style>
  <w:style w:type="paragraph" w:customStyle="1" w:styleId="13">
    <w:name w:val="正文（绿盟科技）"/>
    <w:basedOn w:val="1"/>
    <w:autoRedefine/>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14">
    <w:name w:val="*正文"/>
    <w:basedOn w:val="1"/>
    <w:autoRedefine/>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15">
    <w:name w:val="Heading2"/>
    <w:basedOn w:val="1"/>
    <w:next w:val="1"/>
    <w:autoRedefine/>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2024-02-07T08:24:37Z</dcterms:created>
  <dc:creator>user</dc:creator>
  <cp:lastModifiedBy>Richael</cp:lastModifiedBy>
  <dcterms:modified xsi:type="dcterms:W3CDTF">2024-02-07T08:25:44Z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AEE4635BA5C44420AD3437AF43666A75_12</vt:lpwstr>
  </property>
</Properties>
</file>